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A4F" w:rsidRPr="00D25A4F" w:rsidRDefault="00D25A4F" w:rsidP="00D25A4F">
      <w:pPr>
        <w:jc w:val="center"/>
        <w:rPr>
          <w:rFonts w:ascii="Times New Roman" w:hAnsi="Times New Roman" w:cs="Times New Roman"/>
          <w:b/>
          <w:color w:val="000000" w:themeColor="text1"/>
          <w:sz w:val="24"/>
          <w:szCs w:val="24"/>
          <w:shd w:val="clear" w:color="auto" w:fill="FFFFFF"/>
        </w:rPr>
      </w:pPr>
      <w:r w:rsidRPr="00D25A4F">
        <w:rPr>
          <w:rFonts w:ascii="Times New Roman" w:hAnsi="Times New Roman" w:cs="Times New Roman"/>
          <w:b/>
          <w:bCs/>
          <w:color w:val="000000" w:themeColor="text1"/>
          <w:sz w:val="24"/>
          <w:szCs w:val="24"/>
          <w:shd w:val="clear" w:color="auto" w:fill="FFFFFF"/>
        </w:rPr>
        <w:t>Faraizi movement</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shd w:val="clear" w:color="auto" w:fill="FFFFFF"/>
        </w:rPr>
      </w:pPr>
      <w:r w:rsidRPr="00D25A4F">
        <w:rPr>
          <w:color w:val="000000" w:themeColor="text1"/>
          <w:shd w:val="clear" w:color="auto" w:fill="FFFFFF"/>
        </w:rPr>
        <w:t>The </w:t>
      </w:r>
      <w:r w:rsidRPr="00D25A4F">
        <w:rPr>
          <w:bCs/>
          <w:color w:val="000000" w:themeColor="text1"/>
          <w:shd w:val="clear" w:color="auto" w:fill="FFFFFF"/>
        </w:rPr>
        <w:t>Faraizi movement</w:t>
      </w:r>
      <w:r w:rsidRPr="00D25A4F">
        <w:rPr>
          <w:color w:val="000000" w:themeColor="text1"/>
          <w:shd w:val="clear" w:color="auto" w:fill="FFFFFF"/>
        </w:rPr>
        <w:t> was founded in 1819 (1st half of 19th century) in East Bengal by </w:t>
      </w:r>
      <w:hyperlink r:id="rId5" w:tooltip="Haji Shariatullah" w:history="1">
        <w:r w:rsidRPr="00D25A4F">
          <w:rPr>
            <w:rStyle w:val="Hyperlink"/>
            <w:color w:val="000000" w:themeColor="text1"/>
            <w:u w:val="none"/>
            <w:shd w:val="clear" w:color="auto" w:fill="FFFFFF"/>
          </w:rPr>
          <w:t>Haji Shariatullah</w:t>
        </w:r>
      </w:hyperlink>
      <w:r w:rsidRPr="00D25A4F">
        <w:rPr>
          <w:color w:val="000000" w:themeColor="text1"/>
          <w:shd w:val="clear" w:color="auto" w:fill="FFFFFF"/>
        </w:rPr>
        <w:t> to give up </w:t>
      </w:r>
      <w:hyperlink r:id="rId6" w:tooltip="Bidah" w:history="1">
        <w:r w:rsidRPr="00D25A4F">
          <w:rPr>
            <w:rStyle w:val="Hyperlink"/>
            <w:color w:val="000000" w:themeColor="text1"/>
            <w:u w:val="none"/>
            <w:shd w:val="clear" w:color="auto" w:fill="FFFFFF"/>
          </w:rPr>
          <w:t>un-Islamic practices</w:t>
        </w:r>
      </w:hyperlink>
      <w:r w:rsidRPr="00D25A4F">
        <w:rPr>
          <w:color w:val="000000" w:themeColor="text1"/>
          <w:shd w:val="clear" w:color="auto" w:fill="FFFFFF"/>
        </w:rPr>
        <w:t> and act upon their duties as Muslims (</w:t>
      </w:r>
      <w:hyperlink r:id="rId7" w:tooltip="Fard" w:history="1">
        <w:r w:rsidRPr="00D25A4F">
          <w:rPr>
            <w:rStyle w:val="Hyperlink"/>
            <w:i/>
            <w:iCs/>
            <w:color w:val="000000" w:themeColor="text1"/>
            <w:u w:val="none"/>
            <w:shd w:val="clear" w:color="auto" w:fill="FFFFFF"/>
          </w:rPr>
          <w:t>fard</w:t>
        </w:r>
      </w:hyperlink>
      <w:r w:rsidRPr="00D25A4F">
        <w:rPr>
          <w:color w:val="000000" w:themeColor="text1"/>
          <w:shd w:val="clear" w:color="auto" w:fill="FFFFFF"/>
        </w:rPr>
        <w:t xml:space="preserve">). The movement protected the rights of tenants to a great extent. </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rPr>
      </w:pPr>
      <w:r w:rsidRPr="00D25A4F">
        <w:rPr>
          <w:color w:val="000000" w:themeColor="text1"/>
        </w:rPr>
        <w:t>The Faraizis adhered to the </w:t>
      </w:r>
      <w:hyperlink r:id="rId8" w:tooltip="Hanafi" w:history="1">
        <w:r w:rsidRPr="00D25A4F">
          <w:rPr>
            <w:color w:val="000000" w:themeColor="text1"/>
          </w:rPr>
          <w:t>Hanafi</w:t>
        </w:r>
      </w:hyperlink>
      <w:r w:rsidRPr="00D25A4F">
        <w:rPr>
          <w:color w:val="000000" w:themeColor="text1"/>
        </w:rPr>
        <w:t> school with certain differences in practices.</w:t>
      </w:r>
    </w:p>
    <w:p w:rsidR="00D25A4F" w:rsidRPr="00D25A4F" w:rsidRDefault="00D25A4F" w:rsidP="00D25A4F">
      <w:pPr>
        <w:numPr>
          <w:ilvl w:val="0"/>
          <w:numId w:val="2"/>
        </w:numPr>
        <w:shd w:val="clear" w:color="auto" w:fill="FFFFFF"/>
        <w:spacing w:before="100" w:beforeAutospacing="1" w:after="24"/>
        <w:ind w:left="384"/>
        <w:jc w:val="both"/>
        <w:rPr>
          <w:rFonts w:ascii="Times New Roman" w:eastAsia="Times New Roman" w:hAnsi="Times New Roman" w:cs="Times New Roman"/>
          <w:color w:val="000000" w:themeColor="text1"/>
          <w:sz w:val="24"/>
          <w:szCs w:val="24"/>
        </w:rPr>
      </w:pPr>
      <w:hyperlink r:id="rId9" w:tooltip="Tawbah" w:history="1">
        <w:r w:rsidRPr="00D25A4F">
          <w:rPr>
            <w:rFonts w:ascii="Times New Roman" w:eastAsia="Times New Roman" w:hAnsi="Times New Roman" w:cs="Times New Roman"/>
            <w:color w:val="000000" w:themeColor="text1"/>
            <w:sz w:val="24"/>
            <w:szCs w:val="24"/>
          </w:rPr>
          <w:t>Tawbah</w:t>
        </w:r>
      </w:hyperlink>
      <w:r w:rsidRPr="00D25A4F">
        <w:rPr>
          <w:rFonts w:ascii="Times New Roman" w:eastAsia="Times New Roman" w:hAnsi="Times New Roman" w:cs="Times New Roman"/>
          <w:color w:val="000000" w:themeColor="text1"/>
          <w:sz w:val="24"/>
          <w:szCs w:val="24"/>
        </w:rPr>
        <w:t> i.e. to be penitent for past sins as a measure for the purification of soul</w:t>
      </w:r>
    </w:p>
    <w:p w:rsidR="00D25A4F" w:rsidRPr="00D25A4F" w:rsidRDefault="00D25A4F" w:rsidP="00D25A4F">
      <w:pPr>
        <w:numPr>
          <w:ilvl w:val="0"/>
          <w:numId w:val="2"/>
        </w:numPr>
        <w:shd w:val="clear" w:color="auto" w:fill="FFFFFF"/>
        <w:spacing w:before="100" w:beforeAutospacing="1" w:after="24"/>
        <w:ind w:left="384"/>
        <w:jc w:val="both"/>
        <w:rPr>
          <w:rFonts w:ascii="Times New Roman" w:eastAsia="Times New Roman" w:hAnsi="Times New Roman" w:cs="Times New Roman"/>
          <w:color w:val="000000" w:themeColor="text1"/>
          <w:sz w:val="24"/>
          <w:szCs w:val="24"/>
        </w:rPr>
      </w:pPr>
      <w:r w:rsidRPr="00D25A4F">
        <w:rPr>
          <w:rFonts w:ascii="Times New Roman" w:eastAsia="Times New Roman" w:hAnsi="Times New Roman" w:cs="Times New Roman"/>
          <w:color w:val="000000" w:themeColor="text1"/>
          <w:sz w:val="24"/>
          <w:szCs w:val="24"/>
        </w:rPr>
        <w:t>To observe strictly the obligatory duties of </w:t>
      </w:r>
      <w:hyperlink r:id="rId10" w:tooltip="Fard" w:history="1">
        <w:r w:rsidRPr="00D25A4F">
          <w:rPr>
            <w:rFonts w:ascii="Times New Roman" w:eastAsia="Times New Roman" w:hAnsi="Times New Roman" w:cs="Times New Roman"/>
            <w:color w:val="000000" w:themeColor="text1"/>
            <w:sz w:val="24"/>
            <w:szCs w:val="24"/>
          </w:rPr>
          <w:t>Faraiz</w:t>
        </w:r>
      </w:hyperlink>
    </w:p>
    <w:p w:rsidR="00D25A4F" w:rsidRPr="00D25A4F" w:rsidRDefault="00D25A4F" w:rsidP="00D25A4F">
      <w:pPr>
        <w:numPr>
          <w:ilvl w:val="0"/>
          <w:numId w:val="2"/>
        </w:numPr>
        <w:shd w:val="clear" w:color="auto" w:fill="FFFFFF"/>
        <w:spacing w:before="100" w:beforeAutospacing="1" w:after="24"/>
        <w:ind w:left="384"/>
        <w:jc w:val="both"/>
        <w:rPr>
          <w:rFonts w:ascii="Times New Roman" w:eastAsia="Times New Roman" w:hAnsi="Times New Roman" w:cs="Times New Roman"/>
          <w:color w:val="000000" w:themeColor="text1"/>
          <w:sz w:val="24"/>
          <w:szCs w:val="24"/>
        </w:rPr>
      </w:pPr>
      <w:r w:rsidRPr="00D25A4F">
        <w:rPr>
          <w:rFonts w:ascii="Times New Roman" w:eastAsia="Times New Roman" w:hAnsi="Times New Roman" w:cs="Times New Roman"/>
          <w:color w:val="000000" w:themeColor="text1"/>
          <w:sz w:val="24"/>
          <w:szCs w:val="24"/>
        </w:rPr>
        <w:t>Strict adherence to </w:t>
      </w:r>
      <w:hyperlink r:id="rId11" w:tooltip="Tawhid" w:history="1">
        <w:r w:rsidRPr="00D25A4F">
          <w:rPr>
            <w:rFonts w:ascii="Times New Roman" w:eastAsia="Times New Roman" w:hAnsi="Times New Roman" w:cs="Times New Roman"/>
            <w:color w:val="000000" w:themeColor="text1"/>
            <w:sz w:val="24"/>
            <w:szCs w:val="24"/>
          </w:rPr>
          <w:t>Tawhid</w:t>
        </w:r>
      </w:hyperlink>
    </w:p>
    <w:p w:rsidR="00D25A4F" w:rsidRPr="00D25A4F" w:rsidRDefault="00D25A4F" w:rsidP="00D25A4F">
      <w:pPr>
        <w:numPr>
          <w:ilvl w:val="0"/>
          <w:numId w:val="2"/>
        </w:numPr>
        <w:shd w:val="clear" w:color="auto" w:fill="FFFFFF"/>
        <w:spacing w:before="100" w:beforeAutospacing="1" w:after="24"/>
        <w:ind w:left="384"/>
        <w:jc w:val="both"/>
        <w:rPr>
          <w:rFonts w:ascii="Times New Roman" w:eastAsia="Times New Roman" w:hAnsi="Times New Roman" w:cs="Times New Roman"/>
          <w:color w:val="000000" w:themeColor="text1"/>
          <w:sz w:val="24"/>
          <w:szCs w:val="24"/>
        </w:rPr>
      </w:pPr>
      <w:r w:rsidRPr="00D25A4F">
        <w:rPr>
          <w:rFonts w:ascii="Times New Roman" w:eastAsia="Times New Roman" w:hAnsi="Times New Roman" w:cs="Times New Roman"/>
          <w:color w:val="000000" w:themeColor="text1"/>
          <w:sz w:val="24"/>
          <w:szCs w:val="24"/>
        </w:rPr>
        <w:t>India being </w:t>
      </w:r>
      <w:hyperlink r:id="rId12" w:tooltip="Dar al Harb" w:history="1">
        <w:r w:rsidRPr="00D25A4F">
          <w:rPr>
            <w:rFonts w:ascii="Times New Roman" w:eastAsia="Times New Roman" w:hAnsi="Times New Roman" w:cs="Times New Roman"/>
            <w:color w:val="000000" w:themeColor="text1"/>
            <w:sz w:val="24"/>
            <w:szCs w:val="24"/>
          </w:rPr>
          <w:t>Dar al Harb</w:t>
        </w:r>
      </w:hyperlink>
      <w:r w:rsidRPr="00D25A4F">
        <w:rPr>
          <w:rFonts w:ascii="Times New Roman" w:eastAsia="Times New Roman" w:hAnsi="Times New Roman" w:cs="Times New Roman"/>
          <w:color w:val="000000" w:themeColor="text1"/>
          <w:sz w:val="24"/>
          <w:szCs w:val="24"/>
        </w:rPr>
        <w:t>, </w:t>
      </w:r>
      <w:hyperlink r:id="rId13" w:tooltip="Friday prayers" w:history="1">
        <w:r w:rsidRPr="00D25A4F">
          <w:rPr>
            <w:rFonts w:ascii="Times New Roman" w:eastAsia="Times New Roman" w:hAnsi="Times New Roman" w:cs="Times New Roman"/>
            <w:color w:val="000000" w:themeColor="text1"/>
            <w:sz w:val="24"/>
            <w:szCs w:val="24"/>
          </w:rPr>
          <w:t>Friday prayers</w:t>
        </w:r>
      </w:hyperlink>
      <w:r w:rsidRPr="00D25A4F">
        <w:rPr>
          <w:rFonts w:ascii="Times New Roman" w:eastAsia="Times New Roman" w:hAnsi="Times New Roman" w:cs="Times New Roman"/>
          <w:color w:val="000000" w:themeColor="text1"/>
          <w:sz w:val="24"/>
          <w:szCs w:val="24"/>
        </w:rPr>
        <w:t> and </w:t>
      </w:r>
      <w:hyperlink r:id="rId14" w:tooltip="Eid al-Adha" w:history="1">
        <w:r w:rsidRPr="00D25A4F">
          <w:rPr>
            <w:rFonts w:ascii="Times New Roman" w:eastAsia="Times New Roman" w:hAnsi="Times New Roman" w:cs="Times New Roman"/>
            <w:color w:val="000000" w:themeColor="text1"/>
            <w:sz w:val="24"/>
            <w:szCs w:val="24"/>
          </w:rPr>
          <w:t>Eid</w:t>
        </w:r>
      </w:hyperlink>
      <w:r w:rsidRPr="00D25A4F">
        <w:rPr>
          <w:rFonts w:ascii="Times New Roman" w:eastAsia="Times New Roman" w:hAnsi="Times New Roman" w:cs="Times New Roman"/>
          <w:color w:val="000000" w:themeColor="text1"/>
          <w:sz w:val="24"/>
          <w:szCs w:val="24"/>
        </w:rPr>
        <w:t> prayers were not obligatory.</w:t>
      </w:r>
    </w:p>
    <w:p w:rsidR="00D25A4F" w:rsidRPr="00D25A4F" w:rsidRDefault="00D25A4F" w:rsidP="00D25A4F">
      <w:pPr>
        <w:numPr>
          <w:ilvl w:val="0"/>
          <w:numId w:val="2"/>
        </w:numPr>
        <w:shd w:val="clear" w:color="auto" w:fill="FFFFFF"/>
        <w:spacing w:before="100" w:beforeAutospacing="1" w:after="24"/>
        <w:ind w:left="384"/>
        <w:jc w:val="both"/>
        <w:rPr>
          <w:rFonts w:ascii="Times New Roman" w:eastAsia="Times New Roman" w:hAnsi="Times New Roman" w:cs="Times New Roman"/>
          <w:color w:val="000000" w:themeColor="text1"/>
          <w:sz w:val="24"/>
          <w:szCs w:val="24"/>
        </w:rPr>
      </w:pPr>
      <w:r w:rsidRPr="00D25A4F">
        <w:rPr>
          <w:rFonts w:ascii="Times New Roman" w:eastAsia="Times New Roman" w:hAnsi="Times New Roman" w:cs="Times New Roman"/>
          <w:color w:val="000000" w:themeColor="text1"/>
          <w:sz w:val="24"/>
          <w:szCs w:val="24"/>
        </w:rPr>
        <w:t>Denouncing all cultural rights</w:t>
      </w:r>
      <w:r>
        <w:rPr>
          <w:rFonts w:ascii="Times New Roman" w:eastAsia="Times New Roman" w:hAnsi="Times New Roman" w:cs="Times New Roman"/>
          <w:color w:val="000000" w:themeColor="text1"/>
          <w:sz w:val="24"/>
          <w:szCs w:val="24"/>
        </w:rPr>
        <w:t xml:space="preserve"> and ceremonies, </w:t>
      </w:r>
      <w:r w:rsidRPr="00D25A4F">
        <w:rPr>
          <w:rFonts w:ascii="Times New Roman" w:eastAsia="Times New Roman" w:hAnsi="Times New Roman" w:cs="Times New Roman"/>
          <w:color w:val="000000" w:themeColor="text1"/>
          <w:sz w:val="24"/>
          <w:szCs w:val="24"/>
        </w:rPr>
        <w:t>which had no reference to the </w:t>
      </w:r>
      <w:hyperlink r:id="rId15" w:tooltip="Quran" w:history="1">
        <w:r w:rsidRPr="00D25A4F">
          <w:rPr>
            <w:rFonts w:ascii="Times New Roman" w:eastAsia="Times New Roman" w:hAnsi="Times New Roman" w:cs="Times New Roman"/>
            <w:color w:val="000000" w:themeColor="text1"/>
            <w:sz w:val="24"/>
            <w:szCs w:val="24"/>
          </w:rPr>
          <w:t>Quran</w:t>
        </w:r>
      </w:hyperlink>
      <w:r w:rsidRPr="00D25A4F">
        <w:rPr>
          <w:rFonts w:ascii="Times New Roman" w:eastAsia="Times New Roman" w:hAnsi="Times New Roman" w:cs="Times New Roman"/>
          <w:color w:val="000000" w:themeColor="text1"/>
          <w:sz w:val="24"/>
          <w:szCs w:val="24"/>
        </w:rPr>
        <w:t> and </w:t>
      </w:r>
      <w:hyperlink r:id="rId16" w:tooltip="Sunnah" w:history="1">
        <w:r w:rsidRPr="00D25A4F">
          <w:rPr>
            <w:rFonts w:ascii="Times New Roman" w:eastAsia="Times New Roman" w:hAnsi="Times New Roman" w:cs="Times New Roman"/>
            <w:color w:val="000000" w:themeColor="text1"/>
            <w:sz w:val="24"/>
            <w:szCs w:val="24"/>
          </w:rPr>
          <w:t>Sunnah</w:t>
        </w:r>
      </w:hyperlink>
      <w:r w:rsidRPr="00D25A4F">
        <w:rPr>
          <w:rFonts w:ascii="Times New Roman" w:eastAsia="Times New Roman" w:hAnsi="Times New Roman" w:cs="Times New Roman"/>
          <w:color w:val="000000" w:themeColor="text1"/>
          <w:sz w:val="24"/>
          <w:szCs w:val="24"/>
        </w:rPr>
        <w:t>, as </w:t>
      </w:r>
      <w:hyperlink r:id="rId17" w:tooltip="Bidah" w:history="1">
        <w:r w:rsidRPr="00D25A4F">
          <w:rPr>
            <w:rFonts w:ascii="Times New Roman" w:eastAsia="Times New Roman" w:hAnsi="Times New Roman" w:cs="Times New Roman"/>
            <w:color w:val="000000" w:themeColor="text1"/>
            <w:sz w:val="24"/>
            <w:szCs w:val="24"/>
          </w:rPr>
          <w:t>bidah</w:t>
        </w:r>
      </w:hyperlink>
      <w:r w:rsidRPr="00D25A4F">
        <w:rPr>
          <w:rFonts w:ascii="Times New Roman" w:eastAsia="Times New Roman" w:hAnsi="Times New Roman" w:cs="Times New Roman"/>
          <w:color w:val="000000" w:themeColor="text1"/>
          <w:sz w:val="24"/>
          <w:szCs w:val="24"/>
        </w:rPr>
        <w:t> or sinful innovation</w:t>
      </w:r>
      <w:r>
        <w:rPr>
          <w:rFonts w:ascii="Times New Roman" w:eastAsia="Times New Roman" w:hAnsi="Times New Roman" w:cs="Times New Roman"/>
          <w:color w:val="000000" w:themeColor="text1"/>
          <w:sz w:val="24"/>
          <w:szCs w:val="24"/>
        </w:rPr>
        <w:t>s.</w:t>
      </w:r>
    </w:p>
    <w:p w:rsidR="00D25A4F" w:rsidRPr="00D25A4F" w:rsidRDefault="00D25A4F" w:rsidP="00D25A4F">
      <w:pPr>
        <w:shd w:val="clear" w:color="auto" w:fill="FFFFFF"/>
        <w:spacing w:before="120" w:after="120"/>
        <w:jc w:val="both"/>
        <w:rPr>
          <w:rFonts w:ascii="Times New Roman" w:eastAsia="Times New Roman" w:hAnsi="Times New Roman" w:cs="Times New Roman"/>
          <w:color w:val="000000" w:themeColor="text1"/>
          <w:sz w:val="24"/>
          <w:szCs w:val="24"/>
        </w:rPr>
      </w:pPr>
      <w:r w:rsidRPr="00D25A4F">
        <w:rPr>
          <w:rFonts w:ascii="Times New Roman" w:eastAsia="Times New Roman" w:hAnsi="Times New Roman" w:cs="Times New Roman"/>
          <w:color w:val="000000" w:themeColor="text1"/>
          <w:sz w:val="24"/>
          <w:szCs w:val="24"/>
        </w:rPr>
        <w:t>The leader of the Faraizis was called </w:t>
      </w:r>
      <w:r w:rsidRPr="00D25A4F">
        <w:rPr>
          <w:rFonts w:ascii="Times New Roman" w:eastAsia="Times New Roman" w:hAnsi="Times New Roman" w:cs="Times New Roman"/>
          <w:i/>
          <w:iCs/>
          <w:color w:val="000000" w:themeColor="text1"/>
          <w:sz w:val="24"/>
          <w:szCs w:val="24"/>
        </w:rPr>
        <w:t>Ustad</w:t>
      </w:r>
      <w:r w:rsidRPr="00D25A4F">
        <w:rPr>
          <w:rFonts w:ascii="Times New Roman" w:eastAsia="Times New Roman" w:hAnsi="Times New Roman" w:cs="Times New Roman"/>
          <w:color w:val="000000" w:themeColor="text1"/>
          <w:sz w:val="24"/>
          <w:szCs w:val="24"/>
        </w:rPr>
        <w:t> or teacher, and his disciple’s </w:t>
      </w:r>
      <w:r w:rsidRPr="00D25A4F">
        <w:rPr>
          <w:rFonts w:ascii="Times New Roman" w:eastAsia="Times New Roman" w:hAnsi="Times New Roman" w:cs="Times New Roman"/>
          <w:i/>
          <w:iCs/>
          <w:color w:val="000000" w:themeColor="text1"/>
          <w:sz w:val="24"/>
          <w:szCs w:val="24"/>
        </w:rPr>
        <w:t>xagird</w:t>
      </w:r>
      <w:r w:rsidRPr="00D25A4F">
        <w:rPr>
          <w:rFonts w:ascii="Times New Roman" w:eastAsia="Times New Roman" w:hAnsi="Times New Roman" w:cs="Times New Roman"/>
          <w:color w:val="000000" w:themeColor="text1"/>
          <w:sz w:val="24"/>
          <w:szCs w:val="24"/>
        </w:rPr>
        <w:t> or students, instead of using the terms like </w:t>
      </w:r>
      <w:r w:rsidRPr="00D25A4F">
        <w:rPr>
          <w:rFonts w:ascii="Times New Roman" w:eastAsia="Times New Roman" w:hAnsi="Times New Roman" w:cs="Times New Roman"/>
          <w:i/>
          <w:iCs/>
          <w:color w:val="000000" w:themeColor="text1"/>
          <w:sz w:val="24"/>
          <w:szCs w:val="24"/>
        </w:rPr>
        <w:t>pir</w:t>
      </w:r>
      <w:r w:rsidRPr="00D25A4F">
        <w:rPr>
          <w:rFonts w:ascii="Times New Roman" w:eastAsia="Times New Roman" w:hAnsi="Times New Roman" w:cs="Times New Roman"/>
          <w:color w:val="000000" w:themeColor="text1"/>
          <w:sz w:val="24"/>
          <w:szCs w:val="24"/>
        </w:rPr>
        <w:t> and </w:t>
      </w:r>
      <w:r w:rsidRPr="00D25A4F">
        <w:rPr>
          <w:rFonts w:ascii="Times New Roman" w:eastAsia="Times New Roman" w:hAnsi="Times New Roman" w:cs="Times New Roman"/>
          <w:i/>
          <w:iCs/>
          <w:color w:val="000000" w:themeColor="text1"/>
          <w:sz w:val="24"/>
          <w:szCs w:val="24"/>
        </w:rPr>
        <w:t>murid</w:t>
      </w:r>
      <w:r w:rsidRPr="00D25A4F">
        <w:rPr>
          <w:rFonts w:ascii="Times New Roman" w:eastAsia="Times New Roman" w:hAnsi="Times New Roman" w:cs="Times New Roman"/>
          <w:color w:val="000000" w:themeColor="text1"/>
          <w:sz w:val="24"/>
          <w:szCs w:val="24"/>
        </w:rPr>
        <w:t>. A person so initiated into the Faraizi fold was called </w:t>
      </w:r>
      <w:r w:rsidRPr="00D25A4F">
        <w:rPr>
          <w:rFonts w:ascii="Times New Roman" w:eastAsia="Times New Roman" w:hAnsi="Times New Roman" w:cs="Times New Roman"/>
          <w:i/>
          <w:iCs/>
          <w:color w:val="000000" w:themeColor="text1"/>
          <w:sz w:val="24"/>
          <w:szCs w:val="24"/>
        </w:rPr>
        <w:t>Tawbar Muslim</w:t>
      </w:r>
      <w:r w:rsidRPr="00D25A4F">
        <w:rPr>
          <w:rFonts w:ascii="Times New Roman" w:eastAsia="Times New Roman" w:hAnsi="Times New Roman" w:cs="Times New Roman"/>
          <w:color w:val="000000" w:themeColor="text1"/>
          <w:sz w:val="24"/>
          <w:szCs w:val="24"/>
        </w:rPr>
        <w:t> or </w:t>
      </w:r>
      <w:r w:rsidRPr="00D25A4F">
        <w:rPr>
          <w:rFonts w:ascii="Times New Roman" w:eastAsia="Times New Roman" w:hAnsi="Times New Roman" w:cs="Times New Roman"/>
          <w:i/>
          <w:iCs/>
          <w:color w:val="000000" w:themeColor="text1"/>
          <w:sz w:val="24"/>
          <w:szCs w:val="24"/>
        </w:rPr>
        <w:t>Mumin</w:t>
      </w:r>
      <w:r w:rsidRPr="00D25A4F">
        <w:rPr>
          <w:rFonts w:ascii="Times New Roman" w:eastAsia="Times New Roman" w:hAnsi="Times New Roman" w:cs="Times New Roman"/>
          <w:color w:val="000000" w:themeColor="text1"/>
          <w:sz w:val="24"/>
          <w:szCs w:val="24"/>
        </w:rPr>
        <w:t xml:space="preserve">. It was a religious reform movement founded in rural areas of East Bengal. It was initially peaceful but later turned violent. </w:t>
      </w:r>
      <w:r>
        <w:rPr>
          <w:rFonts w:ascii="Times New Roman" w:eastAsia="Times New Roman" w:hAnsi="Times New Roman" w:cs="Times New Roman"/>
          <w:color w:val="000000" w:themeColor="text1"/>
          <w:sz w:val="24"/>
          <w:szCs w:val="24"/>
        </w:rPr>
        <w:t>The basic aim was to discard un-</w:t>
      </w:r>
      <w:r w:rsidRPr="00D25A4F">
        <w:rPr>
          <w:rFonts w:ascii="Times New Roman" w:eastAsia="Times New Roman" w:hAnsi="Times New Roman" w:cs="Times New Roman"/>
          <w:color w:val="000000" w:themeColor="text1"/>
          <w:sz w:val="24"/>
          <w:szCs w:val="24"/>
        </w:rPr>
        <w:t>Islamic pra</w:t>
      </w:r>
      <w:r>
        <w:rPr>
          <w:rFonts w:ascii="Times New Roman" w:eastAsia="Times New Roman" w:hAnsi="Times New Roman" w:cs="Times New Roman"/>
          <w:color w:val="000000" w:themeColor="text1"/>
          <w:sz w:val="24"/>
          <w:szCs w:val="24"/>
        </w:rPr>
        <w:t>ctices. I</w:t>
      </w:r>
      <w:r w:rsidRPr="00D25A4F">
        <w:rPr>
          <w:rFonts w:ascii="Times New Roman" w:eastAsia="Times New Roman" w:hAnsi="Times New Roman" w:cs="Times New Roman"/>
          <w:color w:val="000000" w:themeColor="text1"/>
          <w:sz w:val="24"/>
          <w:szCs w:val="24"/>
        </w:rPr>
        <w:t>ts epicentre was in Faridpur.</w:t>
      </w:r>
      <w:r>
        <w:rPr>
          <w:rFonts w:ascii="Times New Roman" w:eastAsia="Times New Roman" w:hAnsi="Times New Roman" w:cs="Times New Roman"/>
          <w:color w:val="000000" w:themeColor="text1"/>
          <w:sz w:val="24"/>
          <w:szCs w:val="24"/>
        </w:rPr>
        <w:t xml:space="preserve"> </w:t>
      </w:r>
      <w:r w:rsidRPr="00D25A4F">
        <w:rPr>
          <w:rFonts w:ascii="Times New Roman" w:hAnsi="Times New Roman" w:cs="Times New Roman"/>
          <w:color w:val="000000" w:themeColor="text1"/>
          <w:sz w:val="24"/>
          <w:szCs w:val="24"/>
        </w:rPr>
        <w:t>The Faraizi movement was widely received in the districts of </w:t>
      </w:r>
      <w:hyperlink r:id="rId18" w:tooltip="Dhaka" w:history="1">
        <w:r w:rsidRPr="00D25A4F">
          <w:rPr>
            <w:rStyle w:val="Hyperlink"/>
            <w:rFonts w:ascii="Times New Roman" w:hAnsi="Times New Roman" w:cs="Times New Roman"/>
            <w:color w:val="000000" w:themeColor="text1"/>
            <w:sz w:val="24"/>
            <w:szCs w:val="24"/>
            <w:u w:val="none"/>
          </w:rPr>
          <w:t>Dhaka</w:t>
        </w:r>
      </w:hyperlink>
      <w:r w:rsidRPr="00D25A4F">
        <w:rPr>
          <w:rFonts w:ascii="Times New Roman" w:hAnsi="Times New Roman" w:cs="Times New Roman"/>
          <w:color w:val="000000" w:themeColor="text1"/>
          <w:sz w:val="24"/>
          <w:szCs w:val="24"/>
        </w:rPr>
        <w:t>, </w:t>
      </w:r>
      <w:hyperlink r:id="rId19" w:tooltip="Faridpur District" w:history="1">
        <w:r w:rsidRPr="00D25A4F">
          <w:rPr>
            <w:rStyle w:val="Hyperlink"/>
            <w:rFonts w:ascii="Times New Roman" w:hAnsi="Times New Roman" w:cs="Times New Roman"/>
            <w:color w:val="000000" w:themeColor="text1"/>
            <w:sz w:val="24"/>
            <w:szCs w:val="24"/>
            <w:u w:val="none"/>
          </w:rPr>
          <w:t>Faridpur</w:t>
        </w:r>
      </w:hyperlink>
      <w:r w:rsidRPr="00D25A4F">
        <w:rPr>
          <w:rFonts w:ascii="Times New Roman" w:hAnsi="Times New Roman" w:cs="Times New Roman"/>
          <w:color w:val="000000" w:themeColor="text1"/>
          <w:sz w:val="24"/>
          <w:szCs w:val="24"/>
        </w:rPr>
        <w:t>, </w:t>
      </w:r>
      <w:hyperlink r:id="rId20" w:tooltip="Barisal" w:history="1">
        <w:r w:rsidRPr="00D25A4F">
          <w:rPr>
            <w:rStyle w:val="Hyperlink"/>
            <w:rFonts w:ascii="Times New Roman" w:hAnsi="Times New Roman" w:cs="Times New Roman"/>
            <w:color w:val="000000" w:themeColor="text1"/>
            <w:sz w:val="24"/>
            <w:szCs w:val="24"/>
            <w:u w:val="none"/>
          </w:rPr>
          <w:t>Barisal</w:t>
        </w:r>
      </w:hyperlink>
      <w:r w:rsidRPr="00D25A4F">
        <w:rPr>
          <w:rFonts w:ascii="Times New Roman" w:hAnsi="Times New Roman" w:cs="Times New Roman"/>
          <w:color w:val="000000" w:themeColor="text1"/>
          <w:sz w:val="24"/>
          <w:szCs w:val="24"/>
        </w:rPr>
        <w:t>, </w:t>
      </w:r>
      <w:hyperlink r:id="rId21" w:tooltip="Mymensingh" w:history="1">
        <w:r w:rsidRPr="00D25A4F">
          <w:rPr>
            <w:rStyle w:val="Hyperlink"/>
            <w:rFonts w:ascii="Times New Roman" w:hAnsi="Times New Roman" w:cs="Times New Roman"/>
            <w:color w:val="000000" w:themeColor="text1"/>
            <w:sz w:val="24"/>
            <w:szCs w:val="24"/>
            <w:u w:val="none"/>
          </w:rPr>
          <w:t>Mymensingh</w:t>
        </w:r>
      </w:hyperlink>
      <w:r w:rsidRPr="00D25A4F">
        <w:rPr>
          <w:rFonts w:ascii="Times New Roman" w:hAnsi="Times New Roman" w:cs="Times New Roman"/>
          <w:color w:val="000000" w:themeColor="text1"/>
          <w:sz w:val="24"/>
          <w:szCs w:val="24"/>
        </w:rPr>
        <w:t> and </w:t>
      </w:r>
      <w:hyperlink r:id="rId22" w:tooltip="Comilla" w:history="1">
        <w:r w:rsidRPr="00D25A4F">
          <w:rPr>
            <w:rStyle w:val="Hyperlink"/>
            <w:rFonts w:ascii="Times New Roman" w:hAnsi="Times New Roman" w:cs="Times New Roman"/>
            <w:color w:val="000000" w:themeColor="text1"/>
            <w:sz w:val="24"/>
            <w:szCs w:val="24"/>
            <w:u w:val="none"/>
          </w:rPr>
          <w:t>Comilla</w:t>
        </w:r>
      </w:hyperlink>
      <w:r w:rsidRPr="00D25A4F">
        <w:rPr>
          <w:rFonts w:ascii="Times New Roman" w:hAnsi="Times New Roman" w:cs="Times New Roman"/>
          <w:color w:val="000000" w:themeColor="text1"/>
          <w:sz w:val="24"/>
          <w:szCs w:val="24"/>
        </w:rPr>
        <w:t>.</w:t>
      </w:r>
      <w:r w:rsidRPr="00D25A4F">
        <w:rPr>
          <w:color w:val="000000" w:themeColor="text1"/>
        </w:rPr>
        <w:t xml:space="preserve"> </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rPr>
      </w:pPr>
      <w:r w:rsidRPr="00D25A4F">
        <w:rPr>
          <w:color w:val="000000" w:themeColor="text1"/>
        </w:rPr>
        <w:t>Some Muslims, on the other hand, particularly the landlords of Dhaka, hence, reacted sharply against him, which caused a riot in Nayabari, </w:t>
      </w:r>
      <w:hyperlink r:id="rId23" w:tooltip="Dhaka District" w:history="1">
        <w:r w:rsidRPr="00D25A4F">
          <w:rPr>
            <w:rStyle w:val="Hyperlink"/>
            <w:color w:val="000000" w:themeColor="text1"/>
            <w:u w:val="none"/>
          </w:rPr>
          <w:t>Dhaka District</w:t>
        </w:r>
      </w:hyperlink>
      <w:r w:rsidRPr="00D25A4F">
        <w:rPr>
          <w:color w:val="000000" w:themeColor="text1"/>
        </w:rPr>
        <w:t>. Due to the reaction of these landlords and Hindu landlords and European </w:t>
      </w:r>
      <w:hyperlink r:id="rId24" w:tooltip="Indigo" w:history="1">
        <w:r w:rsidRPr="00D25A4F">
          <w:rPr>
            <w:rStyle w:val="Hyperlink"/>
            <w:color w:val="000000" w:themeColor="text1"/>
            <w:u w:val="none"/>
          </w:rPr>
          <w:t>indigo</w:t>
        </w:r>
      </w:hyperlink>
      <w:r w:rsidRPr="00D25A4F">
        <w:rPr>
          <w:color w:val="000000" w:themeColor="text1"/>
        </w:rPr>
        <w:t xml:space="preserve"> planters, this movement swelled into a socio-economic issue. </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rPr>
      </w:pPr>
      <w:r w:rsidRPr="00D25A4F">
        <w:rPr>
          <w:color w:val="000000" w:themeColor="text1"/>
        </w:rPr>
        <w:t>The landlords levied numerous </w:t>
      </w:r>
      <w:r w:rsidRPr="00D25A4F">
        <w:rPr>
          <w:i/>
          <w:iCs/>
          <w:color w:val="000000" w:themeColor="text1"/>
        </w:rPr>
        <w:t>abwabs</w:t>
      </w:r>
      <w:r w:rsidRPr="00D25A4F">
        <w:rPr>
          <w:color w:val="000000" w:themeColor="text1"/>
        </w:rPr>
        <w:t> (plural form of the Arabic term </w:t>
      </w:r>
      <w:proofErr w:type="gramStart"/>
      <w:r w:rsidRPr="00D25A4F">
        <w:rPr>
          <w:i/>
          <w:iCs/>
          <w:color w:val="000000" w:themeColor="text1"/>
        </w:rPr>
        <w:t>bab</w:t>
      </w:r>
      <w:proofErr w:type="gramEnd"/>
      <w:r w:rsidRPr="00D25A4F">
        <w:rPr>
          <w:color w:val="000000" w:themeColor="text1"/>
        </w:rPr>
        <w:t>, signifying a door, a section, a chapter, a title). During </w:t>
      </w:r>
      <w:hyperlink r:id="rId25" w:tooltip="Mughal Empire" w:history="1">
        <w:r w:rsidRPr="00D25A4F">
          <w:rPr>
            <w:rStyle w:val="Hyperlink"/>
            <w:color w:val="000000" w:themeColor="text1"/>
            <w:u w:val="none"/>
          </w:rPr>
          <w:t>Mughal India</w:t>
        </w:r>
      </w:hyperlink>
      <w:r w:rsidRPr="00D25A4F">
        <w:rPr>
          <w:color w:val="000000" w:themeColor="text1"/>
        </w:rPr>
        <w:t>, all temporary and conditional taxes and impositions levied by the government over and above regular taxes were referred to as abwabs. More explicitly, abwab stood for all irregular impositions on Raiyats above the established assessment of land in the Pargana. Such abwabs were horribly dishonest in the eye of law. Several abwabs were of a religious nature. Haji Shariatullah then intervened to object to such a practice and commanded his disciples not to pay these dishonest cesses to the landlords. The landlords even inflicted a ban on the slaughter of cows, especially on the occasion of </w:t>
      </w:r>
      <w:hyperlink r:id="rId26" w:tooltip="Eid al-Adha" w:history="1">
        <w:r w:rsidRPr="00D25A4F">
          <w:rPr>
            <w:rStyle w:val="Hyperlink"/>
            <w:color w:val="000000" w:themeColor="text1"/>
            <w:u w:val="none"/>
          </w:rPr>
          <w:t>Eid</w:t>
        </w:r>
      </w:hyperlink>
      <w:r w:rsidRPr="00D25A4F">
        <w:rPr>
          <w:color w:val="000000" w:themeColor="text1"/>
        </w:rPr>
        <w:t>. The Faraizis ordained their peasant followers not to obey such a ban. All these heated instances added up to tensed and stressed relationships amongst the Faraizis and the landlords, who were all </w:t>
      </w:r>
      <w:hyperlink r:id="rId27" w:tooltip="Hindus" w:history="1">
        <w:r w:rsidRPr="00D25A4F">
          <w:rPr>
            <w:rStyle w:val="Hyperlink"/>
            <w:color w:val="000000" w:themeColor="text1"/>
            <w:u w:val="none"/>
          </w:rPr>
          <w:t>Hindus</w:t>
        </w:r>
      </w:hyperlink>
      <w:r w:rsidRPr="00D25A4F">
        <w:rPr>
          <w:color w:val="000000" w:themeColor="text1"/>
        </w:rPr>
        <w:t xml:space="preserve">. </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rPr>
      </w:pPr>
      <w:r w:rsidRPr="00D25A4F">
        <w:rPr>
          <w:color w:val="000000" w:themeColor="text1"/>
        </w:rPr>
        <w:t xml:space="preserve">The Islamic-led Faraizi movement could be witnessed in various parts of Bengal, with overwhelming English-Bengali agreement for perhaps the very first time. The outraged landlords built up a propaganda campaign with the British officials, incriminating the Faraizis with a mutinous mood. In 1837, these Hindu landlords indicted Haji Shariatullah of attempting to build up a kingdom of his own. They also brought several lawsuits against the Faraizis, in which they </w:t>
      </w:r>
      <w:r w:rsidRPr="00D25A4F">
        <w:rPr>
          <w:color w:val="000000" w:themeColor="text1"/>
        </w:rPr>
        <w:lastRenderedPageBreak/>
        <w:t>benefitted dynamic co-operation of the European indigo planters. Shariatullah was placed under the detention of the police in more than one instance, for purportedly inciting agrarian turbulence in Faridpur.</w:t>
      </w:r>
    </w:p>
    <w:p w:rsidR="00D25A4F" w:rsidRPr="00D25A4F" w:rsidRDefault="00D25A4F" w:rsidP="00D25A4F">
      <w:pPr>
        <w:pStyle w:val="NormalWeb"/>
        <w:shd w:val="clear" w:color="auto" w:fill="FFFFFF"/>
        <w:spacing w:before="120" w:beforeAutospacing="0" w:after="120" w:afterAutospacing="0" w:line="276" w:lineRule="auto"/>
        <w:jc w:val="both"/>
        <w:rPr>
          <w:color w:val="000000" w:themeColor="text1"/>
        </w:rPr>
      </w:pPr>
      <w:r w:rsidRPr="00D25A4F">
        <w:rPr>
          <w:color w:val="000000" w:themeColor="text1"/>
        </w:rPr>
        <w:t>After the death of </w:t>
      </w:r>
      <w:hyperlink r:id="rId28" w:tooltip="Haji Shariatullah" w:history="1">
        <w:r w:rsidRPr="00D25A4F">
          <w:rPr>
            <w:rStyle w:val="Hyperlink"/>
            <w:color w:val="000000" w:themeColor="text1"/>
            <w:u w:val="none"/>
          </w:rPr>
          <w:t>Haji Shariatullah</w:t>
        </w:r>
      </w:hyperlink>
      <w:r w:rsidRPr="00D25A4F">
        <w:rPr>
          <w:color w:val="000000" w:themeColor="text1"/>
        </w:rPr>
        <w:t>, his son, </w:t>
      </w:r>
      <w:hyperlink r:id="rId29" w:tooltip="Dudu Miyan" w:history="1">
        <w:r w:rsidRPr="00D25A4F">
          <w:rPr>
            <w:rStyle w:val="Hyperlink"/>
            <w:color w:val="000000" w:themeColor="text1"/>
            <w:u w:val="none"/>
          </w:rPr>
          <w:t>Dudu Miyan</w:t>
        </w:r>
      </w:hyperlink>
      <w:r w:rsidRPr="00D25A4F">
        <w:rPr>
          <w:color w:val="000000" w:themeColor="text1"/>
        </w:rPr>
        <w:t>, led the movement to a more agrarian character. He organised the oppressed peasantry against the oppressive landlords. In retaliation, the landlords and indigo planters tried to contain Dudu Miyan by instituting false cases against him. However, he became so popular with the peasantry that in the cases, courts seldom found a witness against Dudu Miyan.</w:t>
      </w:r>
    </w:p>
    <w:p w:rsidR="00D25A4F" w:rsidRPr="00D25A4F" w:rsidRDefault="00D25A4F" w:rsidP="00D25A4F">
      <w:pPr>
        <w:shd w:val="clear" w:color="auto" w:fill="FFFFFF"/>
        <w:spacing w:before="120" w:after="120"/>
        <w:jc w:val="both"/>
        <w:rPr>
          <w:rFonts w:ascii="Times New Roman" w:eastAsia="Times New Roman" w:hAnsi="Times New Roman" w:cs="Times New Roman"/>
          <w:color w:val="000000" w:themeColor="text1"/>
          <w:sz w:val="24"/>
          <w:szCs w:val="24"/>
        </w:rPr>
      </w:pPr>
    </w:p>
    <w:p w:rsidR="00FA6FE5" w:rsidRPr="00D25A4F" w:rsidRDefault="00FA6FE5" w:rsidP="00D25A4F">
      <w:pPr>
        <w:jc w:val="both"/>
        <w:rPr>
          <w:rFonts w:ascii="Times New Roman" w:hAnsi="Times New Roman" w:cs="Times New Roman"/>
          <w:color w:val="000000" w:themeColor="text1"/>
          <w:sz w:val="24"/>
          <w:szCs w:val="24"/>
        </w:rPr>
      </w:pPr>
    </w:p>
    <w:sectPr w:rsidR="00FA6FE5" w:rsidRPr="00D25A4F"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anafi" TargetMode="External"/><Relationship Id="rId13" Type="http://schemas.openxmlformats.org/officeDocument/2006/relationships/hyperlink" Target="https://en.wikipedia.org/wiki/Friday_prayers" TargetMode="External"/><Relationship Id="rId18" Type="http://schemas.openxmlformats.org/officeDocument/2006/relationships/hyperlink" Target="https://en.wikipedia.org/wiki/Dhaka" TargetMode="External"/><Relationship Id="rId26" Type="http://schemas.openxmlformats.org/officeDocument/2006/relationships/hyperlink" Target="https://en.wikipedia.org/wiki/Eid_al-Adha" TargetMode="External"/><Relationship Id="rId3" Type="http://schemas.openxmlformats.org/officeDocument/2006/relationships/settings" Target="settings.xml"/><Relationship Id="rId21" Type="http://schemas.openxmlformats.org/officeDocument/2006/relationships/hyperlink" Target="https://en.wikipedia.org/wiki/Mymensingh" TargetMode="External"/><Relationship Id="rId7" Type="http://schemas.openxmlformats.org/officeDocument/2006/relationships/hyperlink" Target="https://en.wikipedia.org/wiki/Fard" TargetMode="External"/><Relationship Id="rId12" Type="http://schemas.openxmlformats.org/officeDocument/2006/relationships/hyperlink" Target="https://en.wikipedia.org/wiki/Dar_al_Harb" TargetMode="External"/><Relationship Id="rId17" Type="http://schemas.openxmlformats.org/officeDocument/2006/relationships/hyperlink" Target="https://en.wikipedia.org/wiki/Bidah" TargetMode="External"/><Relationship Id="rId25" Type="http://schemas.openxmlformats.org/officeDocument/2006/relationships/hyperlink" Target="https://en.wikipedia.org/wiki/Mughal_Empire" TargetMode="External"/><Relationship Id="rId2" Type="http://schemas.openxmlformats.org/officeDocument/2006/relationships/styles" Target="styles.xml"/><Relationship Id="rId16" Type="http://schemas.openxmlformats.org/officeDocument/2006/relationships/hyperlink" Target="https://en.wikipedia.org/wiki/Sunnah" TargetMode="External"/><Relationship Id="rId20" Type="http://schemas.openxmlformats.org/officeDocument/2006/relationships/hyperlink" Target="https://en.wikipedia.org/wiki/Barisal" TargetMode="External"/><Relationship Id="rId29" Type="http://schemas.openxmlformats.org/officeDocument/2006/relationships/hyperlink" Target="https://en.wikipedia.org/wiki/Dudu_Miyan" TargetMode="External"/><Relationship Id="rId1" Type="http://schemas.openxmlformats.org/officeDocument/2006/relationships/numbering" Target="numbering.xml"/><Relationship Id="rId6" Type="http://schemas.openxmlformats.org/officeDocument/2006/relationships/hyperlink" Target="https://en.wikipedia.org/wiki/Bidah" TargetMode="External"/><Relationship Id="rId11" Type="http://schemas.openxmlformats.org/officeDocument/2006/relationships/hyperlink" Target="https://en.wikipedia.org/wiki/Tawhid" TargetMode="External"/><Relationship Id="rId24" Type="http://schemas.openxmlformats.org/officeDocument/2006/relationships/hyperlink" Target="https://en.wikipedia.org/wiki/Indigo" TargetMode="External"/><Relationship Id="rId5" Type="http://schemas.openxmlformats.org/officeDocument/2006/relationships/hyperlink" Target="https://en.wikipedia.org/wiki/Haji_Shariatullah" TargetMode="External"/><Relationship Id="rId15" Type="http://schemas.openxmlformats.org/officeDocument/2006/relationships/hyperlink" Target="https://en.wikipedia.org/wiki/Quran" TargetMode="External"/><Relationship Id="rId23" Type="http://schemas.openxmlformats.org/officeDocument/2006/relationships/hyperlink" Target="https://en.wikipedia.org/wiki/Dhaka_District" TargetMode="External"/><Relationship Id="rId28" Type="http://schemas.openxmlformats.org/officeDocument/2006/relationships/hyperlink" Target="https://en.wikipedia.org/wiki/Haji_Shariatullah" TargetMode="External"/><Relationship Id="rId10" Type="http://schemas.openxmlformats.org/officeDocument/2006/relationships/hyperlink" Target="https://en.wikipedia.org/wiki/Fard" TargetMode="External"/><Relationship Id="rId19" Type="http://schemas.openxmlformats.org/officeDocument/2006/relationships/hyperlink" Target="https://en.wikipedia.org/wiki/Faridpur_Distric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Tawbah" TargetMode="External"/><Relationship Id="rId14" Type="http://schemas.openxmlformats.org/officeDocument/2006/relationships/hyperlink" Target="https://en.wikipedia.org/wiki/Eid_al-Adha" TargetMode="External"/><Relationship Id="rId22" Type="http://schemas.openxmlformats.org/officeDocument/2006/relationships/hyperlink" Target="https://en.wikipedia.org/wiki/Comilla" TargetMode="External"/><Relationship Id="rId27" Type="http://schemas.openxmlformats.org/officeDocument/2006/relationships/hyperlink" Target="https://en.wikipedia.org/wiki/Hindu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2020-03-28T03:10:00Z</dcterms:created>
  <dcterms:modified xsi:type="dcterms:W3CDTF">2020-03-28T03:10:00Z</dcterms:modified>
</cp:coreProperties>
</file>